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A3B" w:rsidRDefault="00CB0A3B" w:rsidP="0093777B">
      <w:pPr>
        <w:spacing w:line="240" w:lineRule="auto"/>
        <w:jc w:val="center"/>
        <w:rPr>
          <w:rFonts w:ascii="Times New Roman" w:hAnsi="Times New Roman" w:cs="Times New Roman"/>
          <w:b/>
          <w:sz w:val="28"/>
          <w:szCs w:val="28"/>
          <w:u w:val="single"/>
        </w:rPr>
      </w:pPr>
      <w:r w:rsidRPr="00307677">
        <w:rPr>
          <w:noProof/>
          <w:lang w:eastAsia="en-GB"/>
        </w:rPr>
        <w:drawing>
          <wp:anchor distT="0" distB="0" distL="114300" distR="114300" simplePos="0" relativeHeight="251659264" behindDoc="1" locked="0" layoutInCell="1" allowOverlap="1" wp14:anchorId="49204B07" wp14:editId="76EB34BD">
            <wp:simplePos x="0" y="0"/>
            <wp:positionH relativeFrom="column">
              <wp:posOffset>-721360</wp:posOffset>
            </wp:positionH>
            <wp:positionV relativeFrom="paragraph">
              <wp:posOffset>-540385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8"/>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CB0A3B" w:rsidRDefault="00CB0A3B" w:rsidP="0093777B">
      <w:pPr>
        <w:spacing w:line="240" w:lineRule="auto"/>
        <w:jc w:val="center"/>
        <w:rPr>
          <w:rFonts w:ascii="Times New Roman" w:hAnsi="Times New Roman" w:cs="Times New Roman"/>
          <w:b/>
          <w:sz w:val="28"/>
          <w:szCs w:val="28"/>
          <w:u w:val="single"/>
        </w:rPr>
      </w:pPr>
    </w:p>
    <w:p w:rsidR="00CB0A3B" w:rsidRDefault="00CB0A3B" w:rsidP="0093777B">
      <w:pPr>
        <w:spacing w:line="240" w:lineRule="auto"/>
        <w:jc w:val="center"/>
        <w:rPr>
          <w:rFonts w:ascii="Times New Roman" w:hAnsi="Times New Roman" w:cs="Times New Roman"/>
          <w:b/>
          <w:sz w:val="28"/>
          <w:szCs w:val="28"/>
          <w:u w:val="single"/>
        </w:rPr>
      </w:pPr>
    </w:p>
    <w:p w:rsidR="00CB0A3B" w:rsidRDefault="00CB0A3B" w:rsidP="0093777B">
      <w:pPr>
        <w:spacing w:line="240" w:lineRule="auto"/>
        <w:jc w:val="center"/>
        <w:rPr>
          <w:rFonts w:ascii="Times New Roman" w:hAnsi="Times New Roman" w:cs="Times New Roman"/>
          <w:b/>
          <w:sz w:val="28"/>
          <w:szCs w:val="28"/>
          <w:u w:val="single"/>
        </w:rPr>
      </w:pPr>
    </w:p>
    <w:p w:rsidR="0086123C" w:rsidRPr="00CB0A3B" w:rsidRDefault="0086123C" w:rsidP="0093777B">
      <w:pPr>
        <w:spacing w:line="240" w:lineRule="auto"/>
        <w:jc w:val="center"/>
        <w:rPr>
          <w:rFonts w:ascii="Gill Sans MT" w:hAnsi="Gill Sans MT" w:cs="Times New Roman"/>
          <w:sz w:val="28"/>
          <w:szCs w:val="28"/>
          <w:lang w:eastAsia="en-GB"/>
        </w:rPr>
      </w:pPr>
      <w:r w:rsidRPr="00CB0A3B">
        <w:rPr>
          <w:rFonts w:ascii="Gill Sans MT" w:hAnsi="Gill Sans MT" w:cs="Times New Roman"/>
          <w:b/>
          <w:sz w:val="28"/>
          <w:szCs w:val="28"/>
          <w:u w:val="single"/>
        </w:rPr>
        <w:t>EXAMINATIONS: Acceptable use of a Word Processor in a Public Examination</w:t>
      </w:r>
    </w:p>
    <w:p w:rsidR="00CC0982" w:rsidRPr="00CB0A3B" w:rsidRDefault="00CC0982" w:rsidP="0093777B">
      <w:pPr>
        <w:spacing w:line="240" w:lineRule="auto"/>
        <w:rPr>
          <w:rFonts w:ascii="Gill Sans MT" w:hAnsi="Gill Sans MT" w:cs="Times New Roman"/>
        </w:rPr>
      </w:pPr>
      <w:r w:rsidRPr="00CB0A3B">
        <w:rPr>
          <w:rFonts w:ascii="Gill Sans MT" w:hAnsi="Gill Sans MT" w:cs="Times New Roman"/>
        </w:rPr>
        <w:t>The aim of this policy is to clarify the circumstances under which it is acceptable to use a word processor in a public examination.</w:t>
      </w:r>
    </w:p>
    <w:p w:rsidR="00CC0982" w:rsidRPr="00CB0A3B" w:rsidRDefault="00CC0982" w:rsidP="0093777B">
      <w:pPr>
        <w:spacing w:line="240" w:lineRule="auto"/>
        <w:rPr>
          <w:rFonts w:ascii="Gill Sans MT" w:hAnsi="Gill Sans MT" w:cs="Times New Roman"/>
        </w:rPr>
      </w:pPr>
      <w:r w:rsidRPr="00CB0A3B">
        <w:rPr>
          <w:rFonts w:ascii="Gill Sans MT" w:hAnsi="Gill Sans MT" w:cs="Times New Roman"/>
        </w:rPr>
        <w:t>There are three distinct areas where its use is appropriate:</w:t>
      </w:r>
    </w:p>
    <w:p w:rsidR="00CC0982" w:rsidRPr="00CB0A3B" w:rsidRDefault="00CC0982" w:rsidP="0093777B">
      <w:pPr>
        <w:spacing w:line="240" w:lineRule="auto"/>
        <w:rPr>
          <w:rFonts w:ascii="Gill Sans MT" w:hAnsi="Gill Sans MT" w:cs="Times New Roman"/>
        </w:rPr>
      </w:pPr>
      <w:proofErr w:type="spellStart"/>
      <w:r w:rsidRPr="00CB0A3B">
        <w:rPr>
          <w:rFonts w:ascii="Gill Sans MT" w:hAnsi="Gill Sans MT" w:cs="Times New Roman"/>
        </w:rPr>
        <w:t>i</w:t>
      </w:r>
      <w:proofErr w:type="spellEnd"/>
      <w:r w:rsidRPr="00CB0A3B">
        <w:rPr>
          <w:rFonts w:ascii="Gill Sans MT" w:hAnsi="Gill Sans MT" w:cs="Times New Roman"/>
        </w:rPr>
        <w:t xml:space="preserve">) </w:t>
      </w:r>
      <w:r w:rsidR="00293FB8" w:rsidRPr="00CB0A3B">
        <w:rPr>
          <w:rFonts w:ascii="Gill Sans MT" w:hAnsi="Gill Sans MT" w:cs="Times New Roman"/>
          <w:b/>
        </w:rPr>
        <w:t>Non examination assessment</w:t>
      </w:r>
      <w:r w:rsidRPr="00CB0A3B">
        <w:rPr>
          <w:rFonts w:ascii="Gill Sans MT" w:hAnsi="Gill Sans MT" w:cs="Times New Roman"/>
        </w:rPr>
        <w:t xml:space="preserve"> components can normally be completed on word processors unless prohibited by the specification.</w:t>
      </w:r>
    </w:p>
    <w:p w:rsidR="00C35BB3" w:rsidRPr="00CB0A3B" w:rsidRDefault="00CC0982" w:rsidP="0093777B">
      <w:pPr>
        <w:spacing w:line="240" w:lineRule="auto"/>
        <w:rPr>
          <w:rFonts w:ascii="Gill Sans MT" w:hAnsi="Gill Sans MT" w:cs="Times New Roman"/>
        </w:rPr>
      </w:pPr>
      <w:r w:rsidRPr="00CB0A3B">
        <w:rPr>
          <w:rFonts w:ascii="Gill Sans MT" w:hAnsi="Gill Sans MT" w:cs="Times New Roman"/>
        </w:rPr>
        <w:t xml:space="preserve">ii) If a candidate has </w:t>
      </w:r>
      <w:r w:rsidRPr="00CB0A3B">
        <w:rPr>
          <w:rFonts w:ascii="Gill Sans MT" w:hAnsi="Gill Sans MT" w:cs="Times New Roman"/>
          <w:b/>
        </w:rPr>
        <w:t>phy</w:t>
      </w:r>
      <w:r w:rsidR="004C0F75" w:rsidRPr="00CB0A3B">
        <w:rPr>
          <w:rFonts w:ascii="Gill Sans MT" w:hAnsi="Gill Sans MT" w:cs="Times New Roman"/>
          <w:b/>
        </w:rPr>
        <w:t>sically injured themselves prior to</w:t>
      </w:r>
      <w:r w:rsidRPr="00CB0A3B">
        <w:rPr>
          <w:rFonts w:ascii="Gill Sans MT" w:hAnsi="Gill Sans MT" w:cs="Times New Roman"/>
          <w:b/>
        </w:rPr>
        <w:t xml:space="preserve"> the examination</w:t>
      </w:r>
      <w:r w:rsidRPr="00CB0A3B">
        <w:rPr>
          <w:rFonts w:ascii="Gill Sans MT" w:hAnsi="Gill Sans MT" w:cs="Times New Roman"/>
        </w:rPr>
        <w:t xml:space="preserve">, it might be appropriate to give the student access to a word processor to allow them to undertake the examination.  </w:t>
      </w:r>
    </w:p>
    <w:p w:rsidR="00CC0982" w:rsidRPr="00CB0A3B" w:rsidRDefault="00CC0982" w:rsidP="0093777B">
      <w:pPr>
        <w:spacing w:line="240" w:lineRule="auto"/>
        <w:rPr>
          <w:rFonts w:ascii="Gill Sans MT" w:hAnsi="Gill Sans MT" w:cs="Times New Roman"/>
        </w:rPr>
      </w:pPr>
      <w:r w:rsidRPr="00CB0A3B">
        <w:rPr>
          <w:rFonts w:ascii="Gill Sans MT" w:hAnsi="Gill Sans MT" w:cs="Times New Roman"/>
        </w:rPr>
        <w:t>iii) Access to a word processor might also benefit a student with:</w:t>
      </w:r>
    </w:p>
    <w:p w:rsidR="00CC0982" w:rsidRPr="00CB0A3B" w:rsidRDefault="00CC0982" w:rsidP="00CC0982">
      <w:pPr>
        <w:pStyle w:val="ListParagraph"/>
        <w:numPr>
          <w:ilvl w:val="0"/>
          <w:numId w:val="3"/>
        </w:numPr>
        <w:rPr>
          <w:rFonts w:ascii="Gill Sans MT" w:hAnsi="Gill Sans MT" w:cs="Times New Roman"/>
          <w:b/>
        </w:rPr>
      </w:pPr>
      <w:r w:rsidRPr="00CB0A3B">
        <w:rPr>
          <w:rFonts w:ascii="Gill Sans MT" w:hAnsi="Gill Sans MT" w:cs="Times New Roman"/>
          <w:b/>
        </w:rPr>
        <w:t>a learning difficulty which has a substantial and long term adverse effect on their ability to write legibly;</w:t>
      </w:r>
    </w:p>
    <w:p w:rsidR="00CC0982" w:rsidRPr="00CB0A3B" w:rsidRDefault="00CC0982" w:rsidP="00CC0982">
      <w:pPr>
        <w:pStyle w:val="ListParagraph"/>
        <w:numPr>
          <w:ilvl w:val="0"/>
          <w:numId w:val="3"/>
        </w:numPr>
        <w:rPr>
          <w:rFonts w:ascii="Gill Sans MT" w:hAnsi="Gill Sans MT" w:cs="Times New Roman"/>
          <w:b/>
        </w:rPr>
      </w:pPr>
      <w:r w:rsidRPr="00CB0A3B">
        <w:rPr>
          <w:rFonts w:ascii="Gill Sans MT" w:hAnsi="Gill Sans MT" w:cs="Times New Roman"/>
          <w:b/>
        </w:rPr>
        <w:t>a medical condition;</w:t>
      </w:r>
    </w:p>
    <w:p w:rsidR="00CC0982" w:rsidRPr="00CB0A3B" w:rsidRDefault="00CC0982" w:rsidP="00CC0982">
      <w:pPr>
        <w:pStyle w:val="ListParagraph"/>
        <w:numPr>
          <w:ilvl w:val="0"/>
          <w:numId w:val="3"/>
        </w:numPr>
        <w:rPr>
          <w:rFonts w:ascii="Gill Sans MT" w:hAnsi="Gill Sans MT" w:cs="Times New Roman"/>
          <w:b/>
        </w:rPr>
      </w:pPr>
      <w:r w:rsidRPr="00CB0A3B">
        <w:rPr>
          <w:rFonts w:ascii="Gill Sans MT" w:hAnsi="Gill Sans MT" w:cs="Times New Roman"/>
          <w:b/>
        </w:rPr>
        <w:t>a physical disability;</w:t>
      </w:r>
    </w:p>
    <w:p w:rsidR="00CC0982" w:rsidRPr="00CB0A3B" w:rsidRDefault="00CC0982" w:rsidP="00CC0982">
      <w:pPr>
        <w:pStyle w:val="ListParagraph"/>
        <w:numPr>
          <w:ilvl w:val="0"/>
          <w:numId w:val="3"/>
        </w:numPr>
        <w:rPr>
          <w:rFonts w:ascii="Gill Sans MT" w:hAnsi="Gill Sans MT" w:cs="Times New Roman"/>
          <w:b/>
        </w:rPr>
      </w:pPr>
      <w:r w:rsidRPr="00CB0A3B">
        <w:rPr>
          <w:rFonts w:ascii="Gill Sans MT" w:hAnsi="Gill Sans MT" w:cs="Times New Roman"/>
          <w:b/>
        </w:rPr>
        <w:t>a sensory impairment;</w:t>
      </w:r>
    </w:p>
    <w:p w:rsidR="00CC0982" w:rsidRPr="00CB0A3B" w:rsidRDefault="00C36FCB" w:rsidP="00CC0982">
      <w:pPr>
        <w:pStyle w:val="ListParagraph"/>
        <w:numPr>
          <w:ilvl w:val="0"/>
          <w:numId w:val="3"/>
        </w:numPr>
        <w:rPr>
          <w:rFonts w:ascii="Gill Sans MT" w:hAnsi="Gill Sans MT" w:cs="Times New Roman"/>
          <w:b/>
        </w:rPr>
      </w:pPr>
      <w:r w:rsidRPr="00CB0A3B">
        <w:rPr>
          <w:rFonts w:ascii="Gill Sans MT" w:hAnsi="Gill Sans MT" w:cs="Times New Roman"/>
          <w:b/>
        </w:rPr>
        <w:t>illegible</w:t>
      </w:r>
      <w:r w:rsidR="00CC0982" w:rsidRPr="00CB0A3B">
        <w:rPr>
          <w:rFonts w:ascii="Gill Sans MT" w:hAnsi="Gill Sans MT" w:cs="Times New Roman"/>
          <w:b/>
        </w:rPr>
        <w:t xml:space="preserve"> handwriting;</w:t>
      </w:r>
    </w:p>
    <w:p w:rsidR="00CC0982" w:rsidRPr="00CB0A3B" w:rsidRDefault="00CC0982" w:rsidP="0093777B">
      <w:pPr>
        <w:pStyle w:val="ListParagraph"/>
        <w:numPr>
          <w:ilvl w:val="0"/>
          <w:numId w:val="3"/>
        </w:numPr>
        <w:spacing w:line="240" w:lineRule="auto"/>
        <w:rPr>
          <w:rFonts w:ascii="Gill Sans MT" w:hAnsi="Gill Sans MT" w:cs="Times New Roman"/>
          <w:b/>
        </w:rPr>
      </w:pPr>
      <w:proofErr w:type="gramStart"/>
      <w:r w:rsidRPr="00CB0A3B">
        <w:rPr>
          <w:rFonts w:ascii="Gill Sans MT" w:hAnsi="Gill Sans MT" w:cs="Times New Roman"/>
          <w:b/>
        </w:rPr>
        <w:t>planning</w:t>
      </w:r>
      <w:proofErr w:type="gramEnd"/>
      <w:r w:rsidRPr="00CB0A3B">
        <w:rPr>
          <w:rFonts w:ascii="Gill Sans MT" w:hAnsi="Gill Sans MT" w:cs="Times New Roman"/>
          <w:b/>
        </w:rPr>
        <w:t xml:space="preserve"> and organisational problems when writing by hand.</w:t>
      </w:r>
    </w:p>
    <w:p w:rsidR="004C0F75" w:rsidRPr="00CB0A3B" w:rsidRDefault="004C0F75" w:rsidP="0093777B">
      <w:pPr>
        <w:spacing w:line="240" w:lineRule="auto"/>
        <w:rPr>
          <w:rFonts w:ascii="Gill Sans MT" w:hAnsi="Gill Sans MT" w:cs="Times New Roman"/>
        </w:rPr>
      </w:pPr>
      <w:r w:rsidRPr="00CB0A3B">
        <w:rPr>
          <w:rFonts w:ascii="Gill Sans MT" w:hAnsi="Gill Sans MT" w:cs="Times New Roman"/>
        </w:rPr>
        <w:t>Before deciding whether use of a laptop would be the best way forward, it is also worth considering the nature of the examination.  Examinations which require more simplistic answers are often easier to handwrite within the answer booklet as the candidate avoids the difficulty of visually tracking between the question paper and screen.  Assessments which involve a significant amount of writing, as well as those which place a greater demand on the need to organise thought and plan extended answers, are those where a word processor would be appropriate.</w:t>
      </w:r>
    </w:p>
    <w:p w:rsidR="004C0F75" w:rsidRPr="00CB0A3B" w:rsidRDefault="004C0F75" w:rsidP="0093777B">
      <w:pPr>
        <w:spacing w:line="240" w:lineRule="auto"/>
        <w:rPr>
          <w:rFonts w:ascii="Gill Sans MT" w:hAnsi="Gill Sans MT" w:cs="Times New Roman"/>
        </w:rPr>
      </w:pPr>
      <w:r w:rsidRPr="00CB0A3B">
        <w:rPr>
          <w:rFonts w:ascii="Gill Sans MT" w:hAnsi="Gill Sans MT" w:cs="Times New Roman"/>
        </w:rPr>
        <w:t>At all times when deciding whether to allow a candidate usa</w:t>
      </w:r>
      <w:bookmarkStart w:id="0" w:name="_GoBack"/>
      <w:r w:rsidRPr="00CB0A3B">
        <w:rPr>
          <w:rFonts w:ascii="Gill Sans MT" w:hAnsi="Gill Sans MT" w:cs="Times New Roman"/>
        </w:rPr>
        <w:t>g</w:t>
      </w:r>
      <w:bookmarkEnd w:id="0"/>
      <w:r w:rsidRPr="00CB0A3B">
        <w:rPr>
          <w:rFonts w:ascii="Gill Sans MT" w:hAnsi="Gill Sans MT" w:cs="Times New Roman"/>
        </w:rPr>
        <w:t xml:space="preserve">e of a word processor, it </w:t>
      </w:r>
      <w:r w:rsidRPr="00CB0A3B">
        <w:rPr>
          <w:rFonts w:ascii="Gill Sans MT" w:hAnsi="Gill Sans MT" w:cs="Times New Roman"/>
          <w:b/>
        </w:rPr>
        <w:t>must</w:t>
      </w:r>
      <w:r w:rsidRPr="00CB0A3B">
        <w:rPr>
          <w:rFonts w:ascii="Gill Sans MT" w:hAnsi="Gill Sans MT" w:cs="Times New Roman"/>
        </w:rPr>
        <w:t xml:space="preserve"> be considered whether this would </w:t>
      </w:r>
      <w:r w:rsidRPr="00CB0A3B">
        <w:rPr>
          <w:rFonts w:ascii="Gill Sans MT" w:hAnsi="Gill Sans MT" w:cs="Times New Roman"/>
          <w:b/>
        </w:rPr>
        <w:t>reflect the candidate’s normal way of working</w:t>
      </w:r>
      <w:r w:rsidRPr="00CB0A3B">
        <w:rPr>
          <w:rFonts w:ascii="Gill Sans MT" w:hAnsi="Gill Sans MT" w:cs="Times New Roman"/>
        </w:rPr>
        <w:t xml:space="preserve"> and is appropriate to the candidate’s needs.  </w:t>
      </w:r>
    </w:p>
    <w:p w:rsidR="004C0F75" w:rsidRPr="00CB0A3B" w:rsidRDefault="004C0F75" w:rsidP="0093777B">
      <w:pPr>
        <w:spacing w:line="240" w:lineRule="auto"/>
        <w:rPr>
          <w:rFonts w:ascii="Gill Sans MT" w:hAnsi="Gill Sans MT" w:cs="Times New Roman"/>
        </w:rPr>
      </w:pPr>
      <w:r w:rsidRPr="00CB0A3B">
        <w:rPr>
          <w:rFonts w:ascii="Gill Sans MT" w:hAnsi="Gill Sans MT" w:cs="Times New Roman"/>
        </w:rPr>
        <w:t xml:space="preserve">A word processor </w:t>
      </w:r>
      <w:r w:rsidRPr="00CB0A3B">
        <w:rPr>
          <w:rFonts w:ascii="Gill Sans MT" w:hAnsi="Gill Sans MT" w:cs="Times New Roman"/>
          <w:b/>
        </w:rPr>
        <w:t>cannot</w:t>
      </w:r>
      <w:r w:rsidRPr="00CB0A3B">
        <w:rPr>
          <w:rFonts w:ascii="Gill Sans MT" w:hAnsi="Gill Sans MT" w:cs="Times New Roman"/>
        </w:rPr>
        <w:t xml:space="preserve"> simply be granted to a candidate because she prefers to type rather than write or can work faster on a keyboard or because she uses a laptop at home.</w:t>
      </w:r>
    </w:p>
    <w:p w:rsidR="00CC0982" w:rsidRPr="00CB0A3B" w:rsidRDefault="00C35BB3" w:rsidP="0093777B">
      <w:pPr>
        <w:spacing w:line="240" w:lineRule="auto"/>
        <w:rPr>
          <w:rFonts w:ascii="Gill Sans MT" w:hAnsi="Gill Sans MT" w:cs="Times New Roman"/>
        </w:rPr>
      </w:pPr>
      <w:r w:rsidRPr="00CB0A3B">
        <w:rPr>
          <w:rFonts w:ascii="Gill Sans MT" w:hAnsi="Gill Sans MT" w:cs="Times New Roman"/>
        </w:rPr>
        <w:t>In the last two</w:t>
      </w:r>
      <w:r w:rsidR="004C0F75" w:rsidRPr="00CB0A3B">
        <w:rPr>
          <w:rFonts w:ascii="Gill Sans MT" w:hAnsi="Gill Sans MT" w:cs="Times New Roman"/>
        </w:rPr>
        <w:t xml:space="preserve"> cases</w:t>
      </w:r>
      <w:r w:rsidRPr="00CB0A3B">
        <w:rPr>
          <w:rFonts w:ascii="Gill Sans MT" w:hAnsi="Gill Sans MT" w:cs="Times New Roman"/>
        </w:rPr>
        <w:t xml:space="preserve"> the spelling and grammar check facility must be disabled and</w:t>
      </w:r>
      <w:r w:rsidR="004C0F75" w:rsidRPr="00CB0A3B">
        <w:rPr>
          <w:rFonts w:ascii="Gill Sans MT" w:hAnsi="Gill Sans MT" w:cs="Times New Roman"/>
        </w:rPr>
        <w:t xml:space="preserve"> a word processor cover sheet (Form 4) must be completed and attached to the candidate’s typed script.</w:t>
      </w:r>
      <w:r w:rsidR="00CC0982" w:rsidRPr="00CB0A3B">
        <w:rPr>
          <w:rFonts w:ascii="Gill Sans MT" w:hAnsi="Gill Sans MT" w:cs="Times New Roman"/>
        </w:rPr>
        <w:t xml:space="preserve"> </w:t>
      </w:r>
    </w:p>
    <w:p w:rsidR="0086123C" w:rsidRPr="00CB0A3B" w:rsidRDefault="0086123C" w:rsidP="0093777B">
      <w:pPr>
        <w:spacing w:line="240" w:lineRule="auto"/>
        <w:jc w:val="both"/>
        <w:rPr>
          <w:rFonts w:ascii="Gill Sans MT" w:hAnsi="Gill Sans MT" w:cs="Times New Roman"/>
          <w:szCs w:val="24"/>
        </w:rPr>
      </w:pPr>
      <w:r w:rsidRPr="00CB0A3B">
        <w:rPr>
          <w:rFonts w:ascii="Gill Sans MT" w:hAnsi="Gill Sans MT" w:cs="Times New Roman"/>
          <w:szCs w:val="24"/>
        </w:rPr>
        <w:t>This policy has regard to the guidance issued by the Secretary of State.</w:t>
      </w:r>
    </w:p>
    <w:p w:rsidR="0086123C" w:rsidRPr="00CB0A3B" w:rsidRDefault="0086123C" w:rsidP="0093777B">
      <w:pPr>
        <w:spacing w:line="240" w:lineRule="auto"/>
        <w:rPr>
          <w:rFonts w:ascii="Gill Sans MT" w:hAnsi="Gill Sans MT" w:cs="Times New Roman"/>
          <w:b/>
          <w:i/>
        </w:rPr>
      </w:pPr>
      <w:r w:rsidRPr="00CB0A3B">
        <w:rPr>
          <w:rFonts w:ascii="Gill Sans MT" w:hAnsi="Gill Sans MT" w:cs="Times New Roman"/>
          <w:b/>
          <w:i/>
        </w:rPr>
        <w:t>Walthamstow Hall policies are approved, ratified and reviewed regularly by the Governing Body in the light of statutory requirements.</w:t>
      </w:r>
    </w:p>
    <w:p w:rsidR="0086123C" w:rsidRPr="00CB0A3B" w:rsidRDefault="00C23D6B" w:rsidP="0093777B">
      <w:pPr>
        <w:spacing w:after="0" w:line="240" w:lineRule="auto"/>
        <w:jc w:val="right"/>
        <w:rPr>
          <w:rFonts w:ascii="Gill Sans MT" w:hAnsi="Gill Sans MT" w:cs="Times New Roman"/>
          <w:szCs w:val="24"/>
        </w:rPr>
      </w:pPr>
      <w:r w:rsidRPr="00CB0A3B">
        <w:rPr>
          <w:rFonts w:ascii="Gill Sans MT" w:hAnsi="Gill Sans MT" w:cs="Times New Roman"/>
          <w:szCs w:val="24"/>
        </w:rPr>
        <w:t>Reviewed June</w:t>
      </w:r>
      <w:r w:rsidR="0093777B" w:rsidRPr="00CB0A3B">
        <w:rPr>
          <w:rFonts w:ascii="Gill Sans MT" w:hAnsi="Gill Sans MT" w:cs="Times New Roman"/>
          <w:szCs w:val="24"/>
        </w:rPr>
        <w:t xml:space="preserve"> 201</w:t>
      </w:r>
      <w:r w:rsidR="00B43196" w:rsidRPr="00CB0A3B">
        <w:rPr>
          <w:rFonts w:ascii="Gill Sans MT" w:hAnsi="Gill Sans MT" w:cs="Times New Roman"/>
          <w:szCs w:val="24"/>
        </w:rPr>
        <w:t>8</w:t>
      </w:r>
    </w:p>
    <w:p w:rsidR="0086123C" w:rsidRPr="00CB0A3B" w:rsidRDefault="00D54889" w:rsidP="0093777B">
      <w:pPr>
        <w:spacing w:after="0"/>
        <w:jc w:val="right"/>
        <w:rPr>
          <w:rFonts w:ascii="Gill Sans MT" w:hAnsi="Gill Sans MT" w:cs="Times New Roman"/>
          <w:szCs w:val="24"/>
        </w:rPr>
      </w:pPr>
      <w:r w:rsidRPr="00CB0A3B">
        <w:rPr>
          <w:rFonts w:ascii="Gill Sans MT" w:hAnsi="Gill Sans MT" w:cs="Times New Roman"/>
          <w:szCs w:val="24"/>
        </w:rPr>
        <w:t>Next Review June 201</w:t>
      </w:r>
      <w:r w:rsidR="00B43196" w:rsidRPr="00CB0A3B">
        <w:rPr>
          <w:rFonts w:ascii="Gill Sans MT" w:hAnsi="Gill Sans MT" w:cs="Times New Roman"/>
          <w:szCs w:val="24"/>
        </w:rPr>
        <w:t>9</w:t>
      </w:r>
    </w:p>
    <w:p w:rsidR="0086123C" w:rsidRPr="00CB0A3B" w:rsidRDefault="0093777B" w:rsidP="0086123C">
      <w:pPr>
        <w:rPr>
          <w:rFonts w:ascii="Gill Sans MT" w:hAnsi="Gill Sans MT" w:cs="Times New Roman"/>
          <w:szCs w:val="24"/>
        </w:rPr>
      </w:pPr>
      <w:r w:rsidRPr="00CB0A3B">
        <w:rPr>
          <w:rFonts w:ascii="Gill Sans MT" w:hAnsi="Gill Sans MT" w:cs="Times New Roman"/>
          <w:szCs w:val="24"/>
        </w:rPr>
        <w:t>Signed: …………………………………………………</w:t>
      </w:r>
      <w:r w:rsidR="0086123C" w:rsidRPr="00CB0A3B">
        <w:rPr>
          <w:rFonts w:ascii="Gill Sans MT" w:hAnsi="Gill Sans MT" w:cs="Times New Roman"/>
          <w:szCs w:val="24"/>
        </w:rPr>
        <w:t>…. Date: ………………………</w:t>
      </w:r>
    </w:p>
    <w:p w:rsidR="0086123C" w:rsidRPr="00CB0A3B" w:rsidRDefault="00C23D6B" w:rsidP="0093777B">
      <w:pPr>
        <w:ind w:left="2160" w:firstLine="315"/>
        <w:rPr>
          <w:rFonts w:ascii="Gill Sans MT" w:hAnsi="Gill Sans MT" w:cs="Times New Roman"/>
          <w:szCs w:val="24"/>
        </w:rPr>
      </w:pPr>
      <w:r w:rsidRPr="00CB0A3B">
        <w:rPr>
          <w:rFonts w:ascii="Gill Sans MT" w:hAnsi="Gill Sans MT" w:cs="Times New Roman"/>
          <w:szCs w:val="24"/>
        </w:rPr>
        <w:t>Mrs J Adams</w:t>
      </w:r>
      <w:r w:rsidRPr="00CB0A3B">
        <w:rPr>
          <w:rFonts w:ascii="Gill Sans MT" w:hAnsi="Gill Sans MT" w:cs="Times New Roman"/>
          <w:szCs w:val="24"/>
        </w:rPr>
        <w:br/>
        <w:t>Chair</w:t>
      </w:r>
      <w:r w:rsidR="0086123C" w:rsidRPr="00CB0A3B">
        <w:rPr>
          <w:rFonts w:ascii="Gill Sans MT" w:hAnsi="Gill Sans MT" w:cs="Times New Roman"/>
          <w:szCs w:val="24"/>
        </w:rPr>
        <w:t xml:space="preserve"> of Governors</w:t>
      </w:r>
    </w:p>
    <w:sectPr w:rsidR="0086123C" w:rsidRPr="00CB0A3B" w:rsidSect="00CB0A3B">
      <w:footerReference w:type="default" r:id="rId9"/>
      <w:pgSz w:w="11906" w:h="16838"/>
      <w:pgMar w:top="851" w:right="849" w:bottom="709" w:left="1134" w:header="708" w:footer="4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23C" w:rsidRDefault="0086123C" w:rsidP="0086123C">
      <w:pPr>
        <w:spacing w:after="0" w:line="240" w:lineRule="auto"/>
      </w:pPr>
      <w:r>
        <w:separator/>
      </w:r>
    </w:p>
  </w:endnote>
  <w:endnote w:type="continuationSeparator" w:id="0">
    <w:p w:rsidR="0086123C" w:rsidRDefault="0086123C" w:rsidP="00861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color w:val="808080" w:themeColor="background1" w:themeShade="80"/>
        <w:sz w:val="20"/>
        <w:szCs w:val="20"/>
      </w:rPr>
      <w:id w:val="980119462"/>
      <w:docPartObj>
        <w:docPartGallery w:val="Page Numbers (Bottom of Page)"/>
        <w:docPartUnique/>
      </w:docPartObj>
    </w:sdtPr>
    <w:sdtEndPr>
      <w:rPr>
        <w:noProof/>
      </w:rPr>
    </w:sdtEndPr>
    <w:sdtContent>
      <w:p w:rsidR="0086123C" w:rsidRPr="00CB0A3B" w:rsidRDefault="0086123C" w:rsidP="00CB0A3B">
        <w:pPr>
          <w:pStyle w:val="Footer"/>
          <w:jc w:val="center"/>
          <w:rPr>
            <w:rFonts w:ascii="Gill Sans MT" w:hAnsi="Gill Sans MT"/>
            <w:color w:val="808080" w:themeColor="background1" w:themeShade="80"/>
            <w:sz w:val="20"/>
            <w:szCs w:val="20"/>
          </w:rPr>
        </w:pPr>
        <w:r w:rsidRPr="00CB0A3B">
          <w:rPr>
            <w:rFonts w:ascii="Gill Sans MT" w:hAnsi="Gill Sans MT" w:cs="Times New Roman"/>
            <w:color w:val="808080" w:themeColor="background1" w:themeShade="80"/>
            <w:sz w:val="20"/>
            <w:szCs w:val="20"/>
          </w:rPr>
          <w:t xml:space="preserve">Examinations: Acceptable use of a Word Processor in a Public Examination </w:t>
        </w:r>
        <w:r w:rsidR="00D54889" w:rsidRPr="00CB0A3B">
          <w:rPr>
            <w:rFonts w:ascii="Gill Sans MT" w:hAnsi="Gill Sans MT" w:cs="Times New Roman"/>
            <w:color w:val="808080" w:themeColor="background1" w:themeShade="80"/>
            <w:sz w:val="20"/>
            <w:szCs w:val="20"/>
          </w:rPr>
          <w:t>June 201</w:t>
        </w:r>
        <w:r w:rsidR="00B43196" w:rsidRPr="00CB0A3B">
          <w:rPr>
            <w:rFonts w:ascii="Gill Sans MT" w:hAnsi="Gill Sans MT" w:cs="Times New Roman"/>
            <w:color w:val="808080" w:themeColor="background1" w:themeShade="80"/>
            <w:sz w:val="20"/>
            <w:szCs w:val="20"/>
          </w:rPr>
          <w:t>8</w:t>
        </w:r>
        <w:r w:rsidRPr="00CB0A3B">
          <w:rPr>
            <w:rFonts w:ascii="Gill Sans MT" w:hAnsi="Gill Sans MT" w:cs="Times New Roman"/>
            <w:color w:val="808080" w:themeColor="background1" w:themeShade="80"/>
            <w:sz w:val="20"/>
            <w:szCs w:val="20"/>
          </w:rPr>
          <w:t xml:space="preserve"> </w:t>
        </w:r>
        <w:r w:rsidRPr="00CB0A3B">
          <w:rPr>
            <w:rFonts w:ascii="Gill Sans MT" w:hAnsi="Gill Sans MT"/>
            <w:color w:val="808080" w:themeColor="background1" w:themeShade="80"/>
            <w:sz w:val="20"/>
            <w:szCs w:val="20"/>
          </w:rPr>
          <w:t xml:space="preserve">                                     </w:t>
        </w:r>
        <w:r w:rsidRPr="00CB0A3B">
          <w:rPr>
            <w:rFonts w:ascii="Gill Sans MT" w:hAnsi="Gill Sans MT"/>
            <w:color w:val="808080" w:themeColor="background1" w:themeShade="80"/>
            <w:sz w:val="20"/>
            <w:szCs w:val="20"/>
          </w:rPr>
          <w:fldChar w:fldCharType="begin"/>
        </w:r>
        <w:r w:rsidRPr="00CB0A3B">
          <w:rPr>
            <w:rFonts w:ascii="Gill Sans MT" w:hAnsi="Gill Sans MT"/>
            <w:color w:val="808080" w:themeColor="background1" w:themeShade="80"/>
            <w:sz w:val="20"/>
            <w:szCs w:val="20"/>
          </w:rPr>
          <w:instrText xml:space="preserve"> PAGE   \* MERGEFORMAT </w:instrText>
        </w:r>
        <w:r w:rsidRPr="00CB0A3B">
          <w:rPr>
            <w:rFonts w:ascii="Gill Sans MT" w:hAnsi="Gill Sans MT"/>
            <w:color w:val="808080" w:themeColor="background1" w:themeShade="80"/>
            <w:sz w:val="20"/>
            <w:szCs w:val="20"/>
          </w:rPr>
          <w:fldChar w:fldCharType="separate"/>
        </w:r>
        <w:r w:rsidR="00CB0A3B">
          <w:rPr>
            <w:rFonts w:ascii="Gill Sans MT" w:hAnsi="Gill Sans MT"/>
            <w:noProof/>
            <w:color w:val="808080" w:themeColor="background1" w:themeShade="80"/>
            <w:sz w:val="20"/>
            <w:szCs w:val="20"/>
          </w:rPr>
          <w:t>1</w:t>
        </w:r>
        <w:r w:rsidRPr="00CB0A3B">
          <w:rPr>
            <w:rFonts w:ascii="Gill Sans MT" w:hAnsi="Gill Sans MT"/>
            <w:noProof/>
            <w:color w:val="808080" w:themeColor="background1" w:themeShade="80"/>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23C" w:rsidRDefault="0086123C" w:rsidP="0086123C">
      <w:pPr>
        <w:spacing w:after="0" w:line="240" w:lineRule="auto"/>
      </w:pPr>
      <w:r>
        <w:separator/>
      </w:r>
    </w:p>
  </w:footnote>
  <w:footnote w:type="continuationSeparator" w:id="0">
    <w:p w:rsidR="0086123C" w:rsidRDefault="0086123C" w:rsidP="00861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0543"/>
    <w:multiLevelType w:val="hybridMultilevel"/>
    <w:tmpl w:val="CDB2C976"/>
    <w:lvl w:ilvl="0" w:tplc="B1E4E8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11211B"/>
    <w:multiLevelType w:val="hybridMultilevel"/>
    <w:tmpl w:val="761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005BA7"/>
    <w:multiLevelType w:val="hybridMultilevel"/>
    <w:tmpl w:val="43966502"/>
    <w:lvl w:ilvl="0" w:tplc="757A39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82"/>
    <w:rsid w:val="00293FB8"/>
    <w:rsid w:val="004C0F75"/>
    <w:rsid w:val="004F37CC"/>
    <w:rsid w:val="00675DC7"/>
    <w:rsid w:val="0086123C"/>
    <w:rsid w:val="008B2F50"/>
    <w:rsid w:val="0093777B"/>
    <w:rsid w:val="00B43196"/>
    <w:rsid w:val="00B76A83"/>
    <w:rsid w:val="00C23D6B"/>
    <w:rsid w:val="00C35BB3"/>
    <w:rsid w:val="00C36FCB"/>
    <w:rsid w:val="00CB0A3B"/>
    <w:rsid w:val="00CC0982"/>
    <w:rsid w:val="00D15C61"/>
    <w:rsid w:val="00D54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82"/>
    <w:pPr>
      <w:ind w:left="720"/>
      <w:contextualSpacing/>
    </w:pPr>
  </w:style>
  <w:style w:type="paragraph" w:styleId="Header">
    <w:name w:val="header"/>
    <w:basedOn w:val="Normal"/>
    <w:link w:val="HeaderChar"/>
    <w:uiPriority w:val="99"/>
    <w:unhideWhenUsed/>
    <w:rsid w:val="00861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3C"/>
  </w:style>
  <w:style w:type="paragraph" w:styleId="Footer">
    <w:name w:val="footer"/>
    <w:basedOn w:val="Normal"/>
    <w:link w:val="FooterChar"/>
    <w:uiPriority w:val="99"/>
    <w:unhideWhenUsed/>
    <w:rsid w:val="00861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3C"/>
  </w:style>
  <w:style w:type="paragraph" w:styleId="BalloonText">
    <w:name w:val="Balloon Text"/>
    <w:basedOn w:val="Normal"/>
    <w:link w:val="BalloonTextChar"/>
    <w:uiPriority w:val="99"/>
    <w:semiHidden/>
    <w:unhideWhenUsed/>
    <w:rsid w:val="00675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82"/>
    <w:pPr>
      <w:ind w:left="720"/>
      <w:contextualSpacing/>
    </w:pPr>
  </w:style>
  <w:style w:type="paragraph" w:styleId="Header">
    <w:name w:val="header"/>
    <w:basedOn w:val="Normal"/>
    <w:link w:val="HeaderChar"/>
    <w:uiPriority w:val="99"/>
    <w:unhideWhenUsed/>
    <w:rsid w:val="00861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3C"/>
  </w:style>
  <w:style w:type="paragraph" w:styleId="Footer">
    <w:name w:val="footer"/>
    <w:basedOn w:val="Normal"/>
    <w:link w:val="FooterChar"/>
    <w:uiPriority w:val="99"/>
    <w:unhideWhenUsed/>
    <w:rsid w:val="00861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3C"/>
  </w:style>
  <w:style w:type="paragraph" w:styleId="BalloonText">
    <w:name w:val="Balloon Text"/>
    <w:basedOn w:val="Normal"/>
    <w:link w:val="BalloonTextChar"/>
    <w:uiPriority w:val="99"/>
    <w:semiHidden/>
    <w:unhideWhenUsed/>
    <w:rsid w:val="00675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Walthamstow Hall School</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3</cp:revision>
  <dcterms:created xsi:type="dcterms:W3CDTF">2018-06-18T17:13:00Z</dcterms:created>
  <dcterms:modified xsi:type="dcterms:W3CDTF">2018-07-11T10:16:00Z</dcterms:modified>
</cp:coreProperties>
</file>